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1749C" w14:textId="7955C808" w:rsidR="00692DB1" w:rsidRPr="00CA2A40" w:rsidRDefault="00D32842" w:rsidP="00692DB1">
      <w:pPr>
        <w:pStyle w:val="afb"/>
        <w:rPr>
          <w:rFonts w:eastAsia="宋体"/>
          <w:szCs w:val="22"/>
          <w:lang w:eastAsia="zh-CN"/>
        </w:rPr>
      </w:pPr>
      <w:bookmarkStart w:id="0" w:name="_Ref399006623"/>
      <w:bookmarkStart w:id="1" w:name="_Toc92513360"/>
      <w:r w:rsidRPr="00CA2A40">
        <w:rPr>
          <w:szCs w:val="22"/>
        </w:rPr>
        <w:t>3GPP TSG-RAN WG4 Meeting #</w:t>
      </w:r>
      <w:r w:rsidR="00692DB1" w:rsidRPr="00CA2A40">
        <w:rPr>
          <w:rFonts w:cs="Arial"/>
          <w:szCs w:val="22"/>
        </w:rPr>
        <w:t>11</w:t>
      </w:r>
      <w:r w:rsidR="00692DB1">
        <w:rPr>
          <w:rFonts w:cs="Arial"/>
          <w:szCs w:val="22"/>
        </w:rPr>
        <w:t>3</w:t>
      </w:r>
      <w:r w:rsidR="00692DB1" w:rsidRPr="00CA2A40">
        <w:rPr>
          <w:rFonts w:cs="Arial"/>
          <w:szCs w:val="22"/>
        </w:rPr>
        <w:t xml:space="preserve">    </w:t>
      </w:r>
      <w:r w:rsidR="00692DB1" w:rsidRPr="00CA2A40">
        <w:rPr>
          <w:rFonts w:eastAsia="宋体" w:hint="eastAsia"/>
          <w:szCs w:val="22"/>
          <w:lang w:eastAsia="zh-CN"/>
        </w:rPr>
        <w:t xml:space="preserve">            </w:t>
      </w:r>
      <w:r w:rsidR="00692DB1" w:rsidRPr="00CA2A40">
        <w:rPr>
          <w:rFonts w:eastAsia="宋体"/>
          <w:szCs w:val="22"/>
          <w:lang w:eastAsia="zh-CN"/>
        </w:rPr>
        <w:t xml:space="preserve">   </w:t>
      </w:r>
      <w:r w:rsidR="00692DB1" w:rsidRPr="00CA2A40">
        <w:rPr>
          <w:rFonts w:eastAsia="宋体" w:hint="eastAsia"/>
          <w:szCs w:val="22"/>
          <w:lang w:eastAsia="zh-CN"/>
        </w:rPr>
        <w:t xml:space="preserve">         </w:t>
      </w:r>
      <w:r w:rsidR="00692DB1">
        <w:rPr>
          <w:rFonts w:eastAsia="宋体"/>
          <w:szCs w:val="22"/>
          <w:lang w:eastAsia="zh-CN"/>
        </w:rPr>
        <w:t xml:space="preserve">    </w:t>
      </w:r>
      <w:r w:rsidR="00692DB1" w:rsidRPr="00CA2A40">
        <w:rPr>
          <w:rFonts w:eastAsia="宋体" w:hint="eastAsia"/>
          <w:szCs w:val="22"/>
          <w:lang w:eastAsia="zh-CN"/>
        </w:rPr>
        <w:t xml:space="preserve">  </w:t>
      </w:r>
      <w:r w:rsidR="00692DB1" w:rsidRPr="00CA2A40">
        <w:rPr>
          <w:rFonts w:eastAsia="宋体"/>
          <w:szCs w:val="22"/>
          <w:lang w:eastAsia="zh-CN"/>
        </w:rPr>
        <w:t xml:space="preserve">   </w:t>
      </w:r>
      <w:r w:rsidR="00692DB1">
        <w:rPr>
          <w:rFonts w:eastAsia="宋体"/>
          <w:szCs w:val="22"/>
          <w:lang w:eastAsia="zh-CN"/>
        </w:rPr>
        <w:t xml:space="preserve">   </w:t>
      </w:r>
      <w:r w:rsidR="00692DB1" w:rsidRPr="00CA2A40">
        <w:rPr>
          <w:rFonts w:eastAsia="宋体"/>
          <w:szCs w:val="22"/>
          <w:lang w:eastAsia="zh-CN"/>
        </w:rPr>
        <w:t xml:space="preserve"> </w:t>
      </w:r>
      <w:r w:rsidR="00692DB1">
        <w:rPr>
          <w:szCs w:val="22"/>
        </w:rPr>
        <w:t>R4-241</w:t>
      </w:r>
      <w:r w:rsidR="00137F8D">
        <w:rPr>
          <w:szCs w:val="22"/>
        </w:rPr>
        <w:t>9027</w:t>
      </w:r>
      <w:bookmarkStart w:id="2" w:name="_GoBack"/>
      <w:bookmarkEnd w:id="2"/>
    </w:p>
    <w:p w14:paraId="668B1CC0" w14:textId="269AC5B2" w:rsidR="00D65FA1" w:rsidRPr="00CA2A40" w:rsidRDefault="00692DB1" w:rsidP="00692DB1">
      <w:pPr>
        <w:pStyle w:val="afb"/>
        <w:rPr>
          <w:rFonts w:eastAsia="宋体"/>
          <w:szCs w:val="22"/>
          <w:lang w:eastAsia="zh-CN"/>
        </w:rPr>
      </w:pPr>
      <w:r w:rsidRPr="004D5ABA">
        <w:rPr>
          <w:rFonts w:cs="Arial"/>
          <w:szCs w:val="22"/>
        </w:rPr>
        <w:t>Orlando, US</w:t>
      </w:r>
      <w:r w:rsidRPr="00CA2A40">
        <w:rPr>
          <w:rFonts w:cs="Arial"/>
          <w:szCs w:val="22"/>
        </w:rPr>
        <w:t xml:space="preserve">, </w:t>
      </w:r>
      <w:r>
        <w:rPr>
          <w:rFonts w:cs="Arial"/>
          <w:szCs w:val="22"/>
        </w:rPr>
        <w:t>November</w:t>
      </w:r>
      <w:r w:rsidRPr="00CA2A40">
        <w:rPr>
          <w:rFonts w:cs="Arial"/>
          <w:szCs w:val="22"/>
        </w:rPr>
        <w:t xml:space="preserve"> </w:t>
      </w:r>
      <w:r>
        <w:rPr>
          <w:rFonts w:cs="Arial"/>
          <w:szCs w:val="22"/>
        </w:rPr>
        <w:t>18 - 22</w:t>
      </w:r>
      <w:r w:rsidR="00D32842" w:rsidRPr="00CA2A40">
        <w:rPr>
          <w:szCs w:val="22"/>
        </w:rPr>
        <w:t>, 202</w:t>
      </w:r>
      <w:r w:rsidR="00D32842"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123AB53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0D55FC" w:rsidRPr="000D55FC">
        <w:rPr>
          <w:rFonts w:ascii="Arial" w:hAnsi="Arial" w:cs="Arial"/>
          <w:sz w:val="22"/>
          <w:szCs w:val="22"/>
        </w:rPr>
        <w:t>On MPR applicability for FR2 CA</w:t>
      </w:r>
    </w:p>
    <w:p w14:paraId="4FD55D83" w14:textId="078F17A5"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AA4E1C">
        <w:rPr>
          <w:rFonts w:ascii="Arial" w:hAnsi="Arial" w:cs="Arial"/>
          <w:sz w:val="22"/>
          <w:szCs w:val="22"/>
        </w:rPr>
        <w:t>7</w:t>
      </w:r>
      <w:r w:rsidR="00BB1309">
        <w:rPr>
          <w:rFonts w:ascii="Arial" w:hAnsi="Arial" w:cs="Arial"/>
          <w:sz w:val="22"/>
          <w:szCs w:val="22"/>
        </w:rPr>
        <w:t>.1.1.</w:t>
      </w:r>
      <w:r w:rsidR="00D65FA1">
        <w:rPr>
          <w:rFonts w:ascii="Arial" w:hAnsi="Arial" w:cs="Arial"/>
          <w:sz w:val="22"/>
          <w:szCs w:val="22"/>
        </w:rPr>
        <w:t>2</w:t>
      </w:r>
      <w:r w:rsidR="00BB1309">
        <w:rPr>
          <w:rFonts w:ascii="Arial" w:hAnsi="Arial" w:cs="Arial"/>
          <w:sz w:val="22"/>
          <w:szCs w:val="22"/>
        </w:rPr>
        <w:t>.3</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1AC3700B" w:rsidR="00AB1467" w:rsidRDefault="00E11C52" w:rsidP="00AB1467">
      <w:pPr>
        <w:jc w:val="both"/>
      </w:pPr>
      <w:r>
        <w:t>During</w:t>
      </w:r>
      <w:r w:rsidR="00AB1467">
        <w:t xml:space="preserve"> RAN</w:t>
      </w:r>
      <w:r w:rsidR="009676FD">
        <w:t>4</w:t>
      </w:r>
      <w:r w:rsidR="008B6EC4">
        <w:t>#</w:t>
      </w:r>
      <w:r w:rsidR="00F72EAC">
        <w:t>1</w:t>
      </w:r>
      <w:r w:rsidR="009676FD">
        <w:t>1</w:t>
      </w:r>
      <w:r w:rsidR="004A6D85">
        <w:t>2</w:t>
      </w:r>
      <w:r w:rsidR="00011193">
        <w:t>bis</w:t>
      </w:r>
      <w:r w:rsidR="008B6EC4">
        <w:t xml:space="preserve">, </w:t>
      </w:r>
      <w:r w:rsidR="007E777D">
        <w:t>MPR applicability</w:t>
      </w:r>
      <w:r w:rsidR="007E777D" w:rsidRPr="007E777D">
        <w:rPr>
          <w:rFonts w:eastAsia="Times New Roman"/>
          <w:sz w:val="24"/>
          <w:lang w:eastAsia="en-GB"/>
        </w:rPr>
        <w:t xml:space="preserve"> </w:t>
      </w:r>
      <w:r w:rsidR="007E777D" w:rsidRPr="007E777D">
        <w:t xml:space="preserve">for FR2 single carrier UL </w:t>
      </w:r>
      <w:r w:rsidR="007E777D">
        <w:t>and</w:t>
      </w:r>
      <w:r w:rsidR="007E777D" w:rsidRPr="007E777D">
        <w:t xml:space="preserve"> intra-band UL CA with DL intra-band CA</w:t>
      </w:r>
      <w:r w:rsidR="00F06EA1">
        <w:t xml:space="preserve"> </w:t>
      </w:r>
      <w:r w:rsidR="008741F1">
        <w:t>has</w:t>
      </w:r>
      <w:r w:rsidR="00F06EA1">
        <w:t xml:space="preserve"> been </w:t>
      </w:r>
      <w:r w:rsidR="008741F1">
        <w:t>discussed</w:t>
      </w:r>
      <w:r w:rsidR="00F06EA1">
        <w:t>.</w:t>
      </w:r>
      <w:r w:rsidR="008741F1">
        <w:t xml:space="preserve"> </w:t>
      </w:r>
      <w:r w:rsidR="005C1883">
        <w:t>Remaining FFS points</w:t>
      </w:r>
      <w:r w:rsidR="008741F1">
        <w:t xml:space="preserve"> can be found in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7A291232" w14:textId="2F53FE82" w:rsidR="00011193" w:rsidRPr="00113CF2" w:rsidRDefault="00011193" w:rsidP="00011193">
            <w:pPr>
              <w:pStyle w:val="4"/>
              <w:numPr>
                <w:ilvl w:val="0"/>
                <w:numId w:val="0"/>
              </w:numPr>
              <w:spacing w:before="0"/>
              <w:outlineLvl w:val="3"/>
              <w:rPr>
                <w:rFonts w:ascii="Times New Roman" w:hAnsi="Times New Roman"/>
                <w:b/>
                <w:color w:val="000000" w:themeColor="text1"/>
                <w:sz w:val="20"/>
                <w:u w:val="single"/>
                <w:lang w:eastAsia="ko-KR"/>
              </w:rPr>
            </w:pPr>
            <w:r w:rsidRPr="00113CF2">
              <w:rPr>
                <w:rFonts w:ascii="Times New Roman" w:hAnsi="Times New Roman" w:hint="eastAsia"/>
                <w:b/>
                <w:color w:val="000000" w:themeColor="text1"/>
                <w:sz w:val="20"/>
                <w:u w:val="single"/>
                <w:lang w:eastAsia="ko-KR"/>
              </w:rPr>
              <w:t>CC activation-based MPR improvement</w:t>
            </w:r>
          </w:p>
          <w:p w14:paraId="14ABFEEE" w14:textId="77777777" w:rsidR="00011193" w:rsidRPr="00ED6E0E" w:rsidRDefault="00011193" w:rsidP="00011193">
            <w:pPr>
              <w:pStyle w:val="aff6"/>
              <w:widowControl/>
              <w:numPr>
                <w:ilvl w:val="0"/>
                <w:numId w:val="32"/>
              </w:numPr>
              <w:spacing w:after="120"/>
              <w:ind w:left="720" w:firstLineChars="0"/>
              <w:jc w:val="left"/>
              <w:rPr>
                <w:color w:val="000000" w:themeColor="text1"/>
                <w:szCs w:val="24"/>
                <w:lang w:eastAsia="zh-CN"/>
              </w:rPr>
            </w:pPr>
            <w:r w:rsidRPr="00967C8C">
              <w:rPr>
                <w:color w:val="000000" w:themeColor="text1"/>
                <w:szCs w:val="24"/>
                <w:lang w:eastAsia="zh-CN"/>
              </w:rPr>
              <w:t>WF</w:t>
            </w:r>
          </w:p>
          <w:p w14:paraId="255FA031" w14:textId="77777777" w:rsidR="00011193" w:rsidRDefault="00011193" w:rsidP="00011193">
            <w:pPr>
              <w:pStyle w:val="aff6"/>
              <w:widowControl/>
              <w:numPr>
                <w:ilvl w:val="1"/>
                <w:numId w:val="32"/>
              </w:numPr>
              <w:spacing w:after="120"/>
              <w:ind w:left="1080" w:firstLineChars="0"/>
              <w:rPr>
                <w:rFonts w:eastAsia="Yu Mincho"/>
                <w:iCs/>
                <w:color w:val="000000" w:themeColor="text1"/>
                <w:lang w:val="en-US" w:eastAsia="ja-JP"/>
              </w:rPr>
            </w:pPr>
            <w:r>
              <w:rPr>
                <w:rFonts w:eastAsia="Yu Mincho" w:hint="eastAsia"/>
                <w:iCs/>
                <w:color w:val="000000" w:themeColor="text1"/>
                <w:lang w:val="en-US" w:eastAsia="ja-JP"/>
              </w:rPr>
              <w:t>Further discuss activated based MPR improvement.</w:t>
            </w:r>
          </w:p>
          <w:p w14:paraId="60914653" w14:textId="77777777" w:rsidR="00011193" w:rsidRPr="007650C5" w:rsidRDefault="00011193" w:rsidP="00011193">
            <w:pPr>
              <w:pStyle w:val="aff6"/>
              <w:widowControl/>
              <w:numPr>
                <w:ilvl w:val="2"/>
                <w:numId w:val="32"/>
              </w:numPr>
              <w:spacing w:after="120"/>
              <w:ind w:left="1800" w:firstLineChars="0"/>
              <w:rPr>
                <w:rFonts w:eastAsia="Yu Mincho"/>
                <w:iCs/>
                <w:color w:val="000000" w:themeColor="text1"/>
                <w:lang w:val="en-US" w:eastAsia="ja-JP"/>
              </w:rPr>
            </w:pPr>
            <w:r w:rsidRPr="007650C5">
              <w:rPr>
                <w:rFonts w:eastAsia="Yu Mincho"/>
                <w:iCs/>
                <w:color w:val="000000" w:themeColor="text1"/>
                <w:lang w:val="en-US" w:eastAsia="ja-JP"/>
              </w:rPr>
              <w:t>FFS using common UE capability between configuration based and activation based, or another UE capability for activated-based improvements.</w:t>
            </w:r>
          </w:p>
          <w:p w14:paraId="4043C5C7" w14:textId="77777777" w:rsidR="00011193" w:rsidRPr="007650C5" w:rsidRDefault="00011193" w:rsidP="00011193">
            <w:pPr>
              <w:pStyle w:val="aff6"/>
              <w:widowControl/>
              <w:numPr>
                <w:ilvl w:val="2"/>
                <w:numId w:val="32"/>
              </w:numPr>
              <w:spacing w:after="120"/>
              <w:ind w:left="1800" w:firstLineChars="0"/>
              <w:rPr>
                <w:rFonts w:eastAsia="Yu Mincho"/>
                <w:iCs/>
                <w:color w:val="000000" w:themeColor="text1"/>
                <w:lang w:val="en-US" w:eastAsia="ja-JP"/>
              </w:rPr>
            </w:pPr>
            <w:r w:rsidRPr="007650C5">
              <w:rPr>
                <w:rFonts w:eastAsia="Yu Mincho"/>
                <w:iCs/>
                <w:color w:val="000000" w:themeColor="text1"/>
                <w:lang w:val="en-US" w:eastAsia="ja-JP"/>
              </w:rPr>
              <w:t>FFS MPR can be determined based on activated UL CCs BW instead of Cumulative aggregated channel bandwidth (CABW). (i.e., activation based also applies to UL CA case)</w:t>
            </w:r>
          </w:p>
          <w:p w14:paraId="7E044887" w14:textId="7833832C" w:rsidR="0067071C" w:rsidRPr="00011193" w:rsidRDefault="00011193" w:rsidP="00011193">
            <w:pPr>
              <w:pStyle w:val="aff6"/>
              <w:widowControl/>
              <w:numPr>
                <w:ilvl w:val="2"/>
                <w:numId w:val="32"/>
              </w:numPr>
              <w:spacing w:after="120"/>
              <w:ind w:left="1800" w:firstLineChars="0"/>
              <w:rPr>
                <w:rFonts w:eastAsia="Yu Mincho"/>
                <w:iCs/>
                <w:color w:val="000000" w:themeColor="text1"/>
                <w:lang w:val="en-US" w:eastAsia="ja-JP"/>
              </w:rPr>
            </w:pPr>
            <w:r w:rsidRPr="007650C5">
              <w:rPr>
                <w:rFonts w:eastAsia="Yu Mincho"/>
                <w:iCs/>
                <w:color w:val="000000" w:themeColor="text1"/>
                <w:lang w:val="en-US" w:eastAsia="ja-JP"/>
              </w:rPr>
              <w:t>FFS limit</w:t>
            </w:r>
            <w:r>
              <w:rPr>
                <w:rFonts w:eastAsia="Yu Mincho" w:hint="eastAsia"/>
                <w:iCs/>
                <w:color w:val="000000" w:themeColor="text1"/>
                <w:lang w:val="en-US" w:eastAsia="ja-JP"/>
              </w:rPr>
              <w:t>ation</w:t>
            </w:r>
            <w:r w:rsidRPr="007650C5">
              <w:rPr>
                <w:rFonts w:eastAsia="Yu Mincho"/>
                <w:iCs/>
                <w:color w:val="000000" w:themeColor="text1"/>
                <w:lang w:val="en-US" w:eastAsia="ja-JP"/>
              </w:rPr>
              <w:t xml:space="preserve"> the enhancement to cases where the activated UL CCs form a contiguous block.</w:t>
            </w:r>
          </w:p>
        </w:tc>
      </w:tr>
    </w:tbl>
    <w:p w14:paraId="5DBFAD44" w14:textId="1D670137" w:rsidR="00A476DD" w:rsidRDefault="00F72EAC" w:rsidP="00F72EAC">
      <w:pPr>
        <w:jc w:val="both"/>
      </w:pPr>
      <w:r>
        <w:t xml:space="preserve">In this contribution, we would like to share our views regarding </w:t>
      </w:r>
      <w:r w:rsidR="002C39B0">
        <w:t>this topic</w:t>
      </w:r>
      <w:r>
        <w:t>.</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580BB8F2" w14:textId="40DE93C3" w:rsidR="00A44D89" w:rsidRDefault="00B9499A" w:rsidP="008575B1">
      <w:pPr>
        <w:jc w:val="both"/>
      </w:pPr>
      <w:r>
        <w:t>In last meeting, it was agreed to introduce configuration based MPR improvement, by which the</w:t>
      </w:r>
      <w:r w:rsidR="00C12973">
        <w:t xml:space="preserve"> MPR can be determined by UL</w:t>
      </w:r>
      <w:r w:rsidR="00B80C79">
        <w:t xml:space="preserve"> aggregated channel bandwidth</w:t>
      </w:r>
      <w:r w:rsidR="00C12973">
        <w:t xml:space="preserve"> BW</w:t>
      </w:r>
      <w:r w:rsidR="00C12973" w:rsidRPr="00C12973">
        <w:rPr>
          <w:vertAlign w:val="subscript"/>
        </w:rPr>
        <w:t>channel_CA</w:t>
      </w:r>
      <w:r w:rsidR="00C12973">
        <w:t xml:space="preserve"> rather than cu</w:t>
      </w:r>
      <w:r w:rsidR="00F43B68">
        <w:t>mulative aggregated channel BW</w:t>
      </w:r>
      <w:r w:rsidR="00C12973">
        <w:t>.</w:t>
      </w:r>
      <w:r w:rsidR="000869C2">
        <w:t xml:space="preserve"> Regarding the activated-based mechanism, since implementation </w:t>
      </w:r>
      <w:r w:rsidR="003D1760">
        <w:t xml:space="preserve">agnostic is emphasized and reflected in the WF, </w:t>
      </w:r>
      <w:r w:rsidR="000869C2">
        <w:t>our u</w:t>
      </w:r>
      <w:r w:rsidR="003D1760">
        <w:t xml:space="preserve">nderstanding is the upcoming discussion for such mechanism should cover all possibilities. When we lay our eyes on the OOB requirements, it is clear that the requirements are based on </w:t>
      </w:r>
      <w:r w:rsidR="00A44D89">
        <w:t>UL aggregated channel bandwidth as defined in TS 38.101-2, which is configuration based.</w:t>
      </w:r>
    </w:p>
    <w:tbl>
      <w:tblPr>
        <w:tblStyle w:val="af8"/>
        <w:tblW w:w="0" w:type="auto"/>
        <w:tblLook w:val="04A0" w:firstRow="1" w:lastRow="0" w:firstColumn="1" w:lastColumn="0" w:noHBand="0" w:noVBand="1"/>
      </w:tblPr>
      <w:tblGrid>
        <w:gridCol w:w="9631"/>
      </w:tblGrid>
      <w:tr w:rsidR="00A44D89" w14:paraId="4E897AC9" w14:textId="77777777" w:rsidTr="00A44D89">
        <w:tc>
          <w:tcPr>
            <w:tcW w:w="9631" w:type="dxa"/>
          </w:tcPr>
          <w:p w14:paraId="3C18432A" w14:textId="0F4A98B8" w:rsidR="00A44D89" w:rsidRPr="00A44D89" w:rsidRDefault="00A44D89" w:rsidP="00A44D89">
            <w:pPr>
              <w:pStyle w:val="5"/>
              <w:outlineLvl w:val="4"/>
              <w:rPr>
                <w:rFonts w:ascii="Times New Roman" w:hAnsi="Times New Roman"/>
                <w:sz w:val="20"/>
                <w:lang w:val="en-GB"/>
              </w:rPr>
            </w:pPr>
            <w:bookmarkStart w:id="3" w:name="_Toc52196530"/>
            <w:bookmarkStart w:id="4" w:name="_Toc52197510"/>
            <w:bookmarkStart w:id="5" w:name="_Toc53173233"/>
            <w:bookmarkStart w:id="6" w:name="_Toc53173602"/>
            <w:bookmarkStart w:id="7" w:name="_Toc61119603"/>
            <w:bookmarkStart w:id="8" w:name="_Toc61119985"/>
            <w:bookmarkStart w:id="9" w:name="_Toc67926047"/>
            <w:bookmarkStart w:id="10" w:name="_Toc75273685"/>
            <w:bookmarkStart w:id="11" w:name="_Toc76510585"/>
            <w:bookmarkStart w:id="12" w:name="_Toc83129742"/>
            <w:bookmarkStart w:id="13" w:name="_Toc90591274"/>
            <w:bookmarkStart w:id="14" w:name="_Toc98864309"/>
            <w:bookmarkStart w:id="15" w:name="_Toc99733558"/>
            <w:bookmarkStart w:id="16" w:name="_Toc106577460"/>
            <w:bookmarkStart w:id="17" w:name="_Toc114537211"/>
            <w:bookmarkStart w:id="18" w:name="_Toc115257479"/>
            <w:bookmarkStart w:id="19" w:name="_Toc123086799"/>
            <w:bookmarkStart w:id="20" w:name="_Toc123088534"/>
            <w:bookmarkStart w:id="21" w:name="_Toc124298190"/>
            <w:bookmarkStart w:id="22" w:name="_Toc130574941"/>
            <w:bookmarkStart w:id="23" w:name="_Toc131767351"/>
            <w:bookmarkStart w:id="24" w:name="_Toc138887937"/>
            <w:bookmarkStart w:id="25" w:name="_Toc145920138"/>
            <w:r w:rsidRPr="00A44D89">
              <w:rPr>
                <w:rFonts w:ascii="Times New Roman" w:hAnsi="Times New Roman" w:hint="eastAsia"/>
                <w:b/>
                <w:sz w:val="20"/>
                <w:lang w:val="en-GB"/>
              </w:rPr>
              <w:t>Aggregated Channel Bandwidth</w:t>
            </w:r>
            <w:r w:rsidRPr="00A44D89">
              <w:rPr>
                <w:rFonts w:ascii="Times New Roman" w:hAnsi="Times New Roman" w:hint="eastAsia"/>
                <w:sz w:val="20"/>
                <w:lang w:val="en-GB"/>
              </w:rPr>
              <w:t>:</w:t>
            </w:r>
            <w:r w:rsidRPr="00A44D89">
              <w:rPr>
                <w:rFonts w:ascii="Times New Roman" w:hAnsi="Times New Roman"/>
                <w:sz w:val="20"/>
                <w:lang w:val="en-GB"/>
              </w:rPr>
              <w:t xml:space="preserve"> The RF bandwidth in which a </w:t>
            </w:r>
            <w:r w:rsidRPr="00A44D89">
              <w:rPr>
                <w:rFonts w:ascii="Times New Roman" w:hAnsi="Times New Roman" w:hint="eastAsia"/>
                <w:sz w:val="20"/>
                <w:lang w:val="en-GB"/>
              </w:rPr>
              <w:t>UE</w:t>
            </w:r>
            <w:r w:rsidRPr="00A44D89">
              <w:rPr>
                <w:rFonts w:ascii="Times New Roman" w:hAnsi="Times New Roman"/>
                <w:sz w:val="20"/>
                <w:lang w:val="en-GB"/>
              </w:rPr>
              <w:t xml:space="preserve"> is configured to transmit and receive multiple </w:t>
            </w:r>
            <w:r w:rsidRPr="00A44D89">
              <w:rPr>
                <w:rFonts w:ascii="Times New Roman" w:hAnsi="Times New Roman" w:hint="eastAsia"/>
                <w:sz w:val="20"/>
                <w:lang w:val="en-GB"/>
              </w:rPr>
              <w:t xml:space="preserve">contiguously </w:t>
            </w:r>
            <w:r w:rsidRPr="00A44D89">
              <w:rPr>
                <w:rFonts w:ascii="Times New Roman" w:hAnsi="Times New Roman"/>
                <w:sz w:val="20"/>
                <w:lang w:val="en-GB"/>
              </w:rPr>
              <w:t>aggregated carriers</w:t>
            </w:r>
            <w:r w:rsidR="00162DF9">
              <w:rPr>
                <w:rFonts w:ascii="Times New Roman" w:hAnsi="Times New Roman"/>
                <w:sz w:val="20"/>
                <w:lang w:val="en-GB"/>
              </w:rPr>
              <w:t>.</w:t>
            </w:r>
          </w:p>
          <w:p w14:paraId="31014D26" w14:textId="36BA9676" w:rsidR="00A44D89" w:rsidRPr="00A44D89" w:rsidRDefault="00A44D89" w:rsidP="00A44D89">
            <w:pPr>
              <w:rPr>
                <w:lang w:val="en-US"/>
              </w:rPr>
            </w:pPr>
            <w:r>
              <w:rPr>
                <w:lang w:val="en-US"/>
              </w:rPr>
              <w:t>…</w:t>
            </w:r>
          </w:p>
          <w:p w14:paraId="6482CF76" w14:textId="77777777" w:rsidR="00A44D89" w:rsidRPr="00C04A08" w:rsidRDefault="00A44D89" w:rsidP="00A44D89">
            <w:pPr>
              <w:pStyle w:val="5"/>
              <w:outlineLvl w:val="4"/>
            </w:pPr>
            <w:r w:rsidRPr="00C04A08">
              <w:t>6.5A.2.1.1</w:t>
            </w:r>
            <w:r w:rsidRPr="00C04A08">
              <w:tab/>
              <w:t>Spectrum emission mask for intra-band contiguous UL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95DD7E2" w14:textId="77777777" w:rsidR="00A44D89" w:rsidRPr="00C04A08" w:rsidRDefault="00A44D89" w:rsidP="00A44D89">
            <w:r w:rsidRPr="00C04A08">
              <w:t>For intra-band contiguous UL carrier aggregation, the spectrum emission mask of the UE applies to frequencies (Δf</w:t>
            </w:r>
            <w:r w:rsidRPr="00C04A08">
              <w:rPr>
                <w:vertAlign w:val="subscript"/>
              </w:rPr>
              <w:t>OOB</w:t>
            </w:r>
            <w:r w:rsidRPr="00C04A08">
              <w:t>) starting from the ± edge of the UL aggregated channel bandwidth (Table 5.3A.5-1). For any bandwidth class defined in Table 5.3A.5-1, the UE emission shall not exceed the levels specified in Table 6.5A.2.1-1.</w:t>
            </w:r>
          </w:p>
          <w:p w14:paraId="6324BE7E" w14:textId="77777777" w:rsidR="00A44D89" w:rsidRDefault="00A44D89" w:rsidP="008575B1">
            <w:pPr>
              <w:jc w:val="both"/>
            </w:pPr>
            <w:r>
              <w:t>……</w:t>
            </w:r>
          </w:p>
          <w:p w14:paraId="7F70172A" w14:textId="77777777" w:rsidR="00A44D89" w:rsidRPr="00C04A08" w:rsidRDefault="00A44D89" w:rsidP="00A44D89">
            <w:pPr>
              <w:pStyle w:val="5"/>
              <w:outlineLvl w:val="4"/>
              <w:rPr>
                <w:sz w:val="24"/>
              </w:rPr>
            </w:pPr>
            <w:bookmarkStart w:id="26" w:name="_Toc52196533"/>
            <w:bookmarkStart w:id="27" w:name="_Toc52197513"/>
            <w:bookmarkStart w:id="28" w:name="_Toc53173236"/>
            <w:bookmarkStart w:id="29" w:name="_Toc53173605"/>
            <w:bookmarkStart w:id="30" w:name="_Toc61119606"/>
            <w:bookmarkStart w:id="31" w:name="_Toc61119988"/>
            <w:bookmarkStart w:id="32" w:name="_Toc67926050"/>
            <w:bookmarkStart w:id="33" w:name="_Toc75273688"/>
            <w:bookmarkStart w:id="34" w:name="_Toc76510588"/>
            <w:bookmarkStart w:id="35" w:name="_Toc83129745"/>
            <w:bookmarkStart w:id="36" w:name="_Toc90591277"/>
            <w:bookmarkStart w:id="37" w:name="_Toc98864312"/>
            <w:bookmarkStart w:id="38" w:name="_Toc99733561"/>
            <w:bookmarkStart w:id="39" w:name="_Toc106577464"/>
            <w:bookmarkStart w:id="40" w:name="_Toc114537215"/>
            <w:bookmarkStart w:id="41" w:name="_Toc115257483"/>
            <w:bookmarkStart w:id="42" w:name="_Toc123086803"/>
            <w:bookmarkStart w:id="43" w:name="_Toc123088538"/>
            <w:bookmarkStart w:id="44" w:name="_Toc124298194"/>
            <w:bookmarkStart w:id="45" w:name="_Toc130574945"/>
            <w:bookmarkStart w:id="46" w:name="_Toc131767355"/>
            <w:bookmarkStart w:id="47" w:name="_Toc138887941"/>
            <w:bookmarkStart w:id="48" w:name="_Toc145920142"/>
            <w:bookmarkStart w:id="49" w:name="_Hlk52185973"/>
            <w:r w:rsidRPr="00C04A08">
              <w:t>6.5A.2.3.1</w:t>
            </w:r>
            <w:r w:rsidRPr="00C04A08">
              <w:tab/>
              <w:t>Adjacent channel leakage ratio for CA intra-band contiguous UL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End w:id="49"/>
          <w:p w14:paraId="77A34B37" w14:textId="48E37BBB" w:rsidR="00A44D89" w:rsidRDefault="00A44D89" w:rsidP="00A44D89">
            <w:r w:rsidRPr="00CB3F8F">
              <w:rPr>
                <w:rFonts w:eastAsia="Malgun Gothic"/>
              </w:rPr>
              <w:lastRenderedPageBreak/>
              <w:t>In case the CA configuration consists of a single UL CC, the adjacent channel leakage ratio defined in subclause 6.5.2.3 appl</w:t>
            </w:r>
            <w:r>
              <w:rPr>
                <w:rFonts w:eastAsia="Malgun Gothic"/>
              </w:rPr>
              <w:t>ies</w:t>
            </w:r>
            <w:r w:rsidRPr="00CB3F8F">
              <w:rPr>
                <w:rFonts w:eastAsia="Malgun Gothic"/>
              </w:rPr>
              <w:t xml:space="preserve">. </w:t>
            </w:r>
            <w:r w:rsidRPr="00EC03C7">
              <w:t>For intra-band contiguous UL carrier aggregation, the carrier aggregation NR adjacent channel leakage power ratio (CA NR</w:t>
            </w:r>
            <w:r w:rsidRPr="00EC03C7">
              <w:rPr>
                <w:vertAlign w:val="subscript"/>
              </w:rPr>
              <w:t>ACLR</w:t>
            </w:r>
            <w:r w:rsidRPr="00EC03C7">
              <w:t xml:space="preserve">) is the ratio of the filtered mean power centred on the </w:t>
            </w:r>
            <w:r w:rsidRPr="00A44D89">
              <w:rPr>
                <w:highlight w:val="yellow"/>
              </w:rPr>
              <w:t>UL aggregated channel bandwidth</w:t>
            </w:r>
            <w:r w:rsidRPr="00EC03C7">
              <w:t xml:space="preserve"> to the filtered mean power centred on an </w:t>
            </w:r>
            <w:r w:rsidRPr="00A44D89">
              <w:rPr>
                <w:highlight w:val="yellow"/>
              </w:rPr>
              <w:t>adjacent UL aggregated channel bandwidth at spacing equal to the UL aggregated channel bandwidth</w:t>
            </w:r>
            <w:r w:rsidRPr="00EC03C7">
              <w:t xml:space="preserve">. The assigned </w:t>
            </w:r>
            <w:r>
              <w:t xml:space="preserve">UL </w:t>
            </w:r>
            <w:r w:rsidRPr="00EC03C7">
              <w:t xml:space="preserve">aggregated channel bandwidth power and adjacent </w:t>
            </w:r>
            <w:r>
              <w:t xml:space="preserve">UL </w:t>
            </w:r>
            <w:r w:rsidRPr="00EC03C7">
              <w:t>aggregated channel bandwidth power are measured with rectangular filters with measurement bandwidths specified in Table 6.5A.2.3.1-1. If the measured adjacent channel power is greater than -35 dBm then the CA NR</w:t>
            </w:r>
            <w:r w:rsidRPr="00EC03C7">
              <w:rPr>
                <w:vertAlign w:val="subscript"/>
              </w:rPr>
              <w:t>ACLR</w:t>
            </w:r>
            <w:r w:rsidRPr="00EC03C7">
              <w:t xml:space="preserve"> shall be higher than the value specified in Table 6.5A.2.3.1-1.</w:t>
            </w:r>
          </w:p>
        </w:tc>
      </w:tr>
    </w:tbl>
    <w:p w14:paraId="73034510" w14:textId="0C551C1B" w:rsidR="00A44D89" w:rsidRDefault="00A44D89" w:rsidP="008575B1">
      <w:pPr>
        <w:jc w:val="both"/>
        <w:rPr>
          <w:b/>
          <w:i/>
        </w:rPr>
      </w:pPr>
      <w:r>
        <w:rPr>
          <w:b/>
          <w:i/>
        </w:rPr>
        <w:lastRenderedPageBreak/>
        <w:t>Observation: The OOB requirements for FR2 UL intra-band contiguous CA are based on UL aggregated channel bandwidth, which is configuration based.</w:t>
      </w:r>
    </w:p>
    <w:p w14:paraId="65A856AB" w14:textId="08547DEB" w:rsidR="00F15928" w:rsidRDefault="00F15928" w:rsidP="008575B1">
      <w:pPr>
        <w:jc w:val="both"/>
      </w:pPr>
      <w:r>
        <w:t>Thus we prefer to keep it as it is and leave some room for the UE that intends to achieve the improved MPR</w:t>
      </w:r>
      <w:r w:rsidR="006957D8">
        <w:t xml:space="preserve"> e.g</w:t>
      </w:r>
      <w:r>
        <w:t>.</w:t>
      </w:r>
      <w:r w:rsidR="006957D8">
        <w:t xml:space="preserve"> UE incapable of LO retuning.</w:t>
      </w:r>
    </w:p>
    <w:p w14:paraId="5A43B993" w14:textId="78F670F0" w:rsidR="00162DF9" w:rsidRDefault="00F15928" w:rsidP="008575B1">
      <w:pPr>
        <w:jc w:val="both"/>
        <w:rPr>
          <w:b/>
          <w:i/>
        </w:rPr>
      </w:pPr>
      <w:r>
        <w:rPr>
          <w:b/>
          <w:i/>
        </w:rPr>
        <w:t xml:space="preserve">Proposal 1: </w:t>
      </w:r>
      <w:r w:rsidR="00162DF9">
        <w:rPr>
          <w:b/>
          <w:i/>
        </w:rPr>
        <w:t xml:space="preserve">For Rel-19 FR2 intra-band contiguous UL CA MPR improvement (both configuration based and activation based), the OOB requirements are still based on UL aggregated channel bandwidth as defined in TS 38.101-2. </w:t>
      </w:r>
    </w:p>
    <w:p w14:paraId="3DD177BD" w14:textId="77777777" w:rsidR="006957D8" w:rsidRDefault="006957D8" w:rsidP="008575B1">
      <w:pPr>
        <w:jc w:val="both"/>
      </w:pPr>
      <w:r>
        <w:t>Another issue is about the UE capability design. We think a normal handling can be used here which is introducing two separate indicator under a unified capability for the whole feature to discriminate different UE would support configuration based or activation based mechanism:</w:t>
      </w:r>
    </w:p>
    <w:p w14:paraId="1F114A93" w14:textId="7AF6FC99" w:rsidR="006957D8" w:rsidRDefault="006957D8" w:rsidP="006957D8">
      <w:pPr>
        <w:jc w:val="center"/>
      </w:pPr>
      <w:r w:rsidRPr="006957D8">
        <w:rPr>
          <w:highlight w:val="yellow"/>
        </w:rPr>
        <w:t>[</w:t>
      </w:r>
      <w:r w:rsidRPr="006957D8">
        <w:rPr>
          <w:i/>
          <w:highlight w:val="yellow"/>
        </w:rPr>
        <w:t>fr2-MPR-ImprovementUplinkDependent-r19</w:t>
      </w:r>
      <w:r w:rsidRPr="006957D8">
        <w:rPr>
          <w:highlight w:val="yellow"/>
        </w:rPr>
        <w:t>]: {</w:t>
      </w:r>
      <w:r w:rsidRPr="006957D8">
        <w:rPr>
          <w:i/>
          <w:highlight w:val="yellow"/>
        </w:rPr>
        <w:t>configuration-based</w:t>
      </w:r>
      <w:r w:rsidRPr="006957D8">
        <w:rPr>
          <w:highlight w:val="yellow"/>
        </w:rPr>
        <w:t xml:space="preserve">, </w:t>
      </w:r>
      <w:r w:rsidRPr="006957D8">
        <w:rPr>
          <w:i/>
          <w:highlight w:val="yellow"/>
        </w:rPr>
        <w:t>activation-based</w:t>
      </w:r>
      <w:r w:rsidRPr="006957D8">
        <w:rPr>
          <w:highlight w:val="yellow"/>
        </w:rPr>
        <w:t>}</w:t>
      </w:r>
      <w:r>
        <w:t xml:space="preserve">   </w:t>
      </w:r>
    </w:p>
    <w:p w14:paraId="01FEDB00" w14:textId="1939C6F9" w:rsidR="006957D8" w:rsidRDefault="00CD4DA8" w:rsidP="008575B1">
      <w:pPr>
        <w:jc w:val="both"/>
        <w:rPr>
          <w:b/>
          <w:i/>
        </w:rPr>
      </w:pPr>
      <w:r>
        <w:rPr>
          <w:b/>
          <w:i/>
        </w:rPr>
        <w:t xml:space="preserve">Proposal 2: Introduce </w:t>
      </w:r>
      <w:r w:rsidR="006957D8">
        <w:rPr>
          <w:b/>
          <w:i/>
        </w:rPr>
        <w:t>separate indicator for configuration-based and activation-based under the UE capability for Rel-19 FR2 UL intra-band contiguous CA MPR improvement.</w:t>
      </w:r>
    </w:p>
    <w:p w14:paraId="7CBF2A43" w14:textId="4DB56EC4" w:rsidR="007E7B7D" w:rsidRPr="008575B1" w:rsidRDefault="007E7B7D"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0394AFB1"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796C4E">
        <w:t xml:space="preserve">remaining issue for </w:t>
      </w:r>
      <w:r w:rsidR="00971FB1">
        <w:t xml:space="preserve">Rel-19 </w:t>
      </w:r>
      <w:r w:rsidR="00971FB1" w:rsidRPr="00971FB1">
        <w:t>MPR applicability for FR2 CA</w:t>
      </w:r>
      <w:r w:rsidR="007265B2">
        <w:t>.</w:t>
      </w:r>
      <w:r w:rsidRPr="00086BFD">
        <w:t xml:space="preserve"> </w:t>
      </w:r>
      <w:r w:rsidR="00796C4E">
        <w:t>W</w:t>
      </w:r>
      <w:r w:rsidRPr="00086BFD">
        <w:t>e have the following</w:t>
      </w:r>
      <w:r w:rsidR="00FB341C">
        <w:t xml:space="preserve"> </w:t>
      </w:r>
      <w:r w:rsidR="006957D8">
        <w:t xml:space="preserve">observation and </w:t>
      </w:r>
      <w:r w:rsidR="00E55B67">
        <w:t>proposals</w:t>
      </w:r>
      <w:r w:rsidRPr="00086BFD">
        <w:t>:</w:t>
      </w:r>
      <w:r w:rsidRPr="00671A68">
        <w:rPr>
          <w:rFonts w:hint="eastAsia"/>
          <w:b/>
          <w:i/>
          <w:lang w:val="en-US"/>
        </w:rPr>
        <w:t xml:space="preserve"> </w:t>
      </w:r>
    </w:p>
    <w:p w14:paraId="2A64EE14" w14:textId="77777777" w:rsidR="006957D8" w:rsidRDefault="006957D8" w:rsidP="006957D8">
      <w:pPr>
        <w:jc w:val="both"/>
        <w:rPr>
          <w:b/>
          <w:i/>
        </w:rPr>
      </w:pPr>
      <w:r>
        <w:rPr>
          <w:b/>
          <w:i/>
        </w:rPr>
        <w:t>Observation: The OOB requirements for FR2 UL intra-band contiguous CA are based on UL aggregated channel bandwidth, which is configuration based.</w:t>
      </w:r>
    </w:p>
    <w:p w14:paraId="26A4CB83" w14:textId="77777777" w:rsidR="006957D8" w:rsidRDefault="006957D8" w:rsidP="006957D8">
      <w:pPr>
        <w:jc w:val="both"/>
        <w:rPr>
          <w:b/>
          <w:i/>
        </w:rPr>
      </w:pPr>
      <w:r>
        <w:rPr>
          <w:b/>
          <w:i/>
        </w:rPr>
        <w:t xml:space="preserve">Proposal 1: For Rel-19 FR2 intra-band contiguous UL CA MPR improvement (both configuration based and activation based), the OOB requirements are still based on UL aggregated channel bandwidth as defined in TS 38.101-2. </w:t>
      </w:r>
    </w:p>
    <w:p w14:paraId="78AD5682" w14:textId="77777777" w:rsidR="006957D8" w:rsidRDefault="006957D8" w:rsidP="006957D8">
      <w:pPr>
        <w:jc w:val="both"/>
        <w:rPr>
          <w:b/>
          <w:i/>
        </w:rPr>
      </w:pPr>
      <w:r>
        <w:rPr>
          <w:b/>
          <w:i/>
        </w:rPr>
        <w:t>Proposal 2: Introduce separate indicator for configuration-based and activation-based under the UE capability for Rel-19 FR2 UL intra-band contiguous CA MPR improvement.</w:t>
      </w:r>
    </w:p>
    <w:p w14:paraId="5BA5CC12" w14:textId="0A22CA22" w:rsidR="007F52CF" w:rsidRPr="0057546E" w:rsidRDefault="007F52CF" w:rsidP="001A61CC">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13B69622" w:rsidR="0067071C" w:rsidRPr="009D1A08" w:rsidRDefault="00BE223D" w:rsidP="009D1A08">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w:t>
      </w:r>
      <w:r w:rsidR="003D47EC" w:rsidRPr="0045485B">
        <w:t>241</w:t>
      </w:r>
      <w:r w:rsidR="003D47EC">
        <w:t xml:space="preserve">7204, </w:t>
      </w:r>
      <w:r w:rsidR="003D47EC" w:rsidRPr="001D14BB">
        <w:t>“</w:t>
      </w:r>
      <w:r w:rsidR="003D47EC" w:rsidRPr="008741F1">
        <w:t>WF on power domain enhancements</w:t>
      </w:r>
      <w:r w:rsidR="003D47EC" w:rsidRPr="001D14BB">
        <w:t xml:space="preserve">”, </w:t>
      </w:r>
      <w:r w:rsidR="003D47EC">
        <w:t>Huawei, HiSilicon</w:t>
      </w:r>
      <w:r w:rsidR="003D47EC" w:rsidRPr="001D14BB">
        <w:t>, 3GPP TSG-RAN</w:t>
      </w:r>
      <w:r w:rsidR="003D47EC">
        <w:t>4</w:t>
      </w:r>
      <w:r w:rsidR="003D47EC" w:rsidRPr="001D14BB">
        <w:t xml:space="preserve"> Meeting #1</w:t>
      </w:r>
      <w:r w:rsidR="003D47EC">
        <w:t>12bis</w:t>
      </w:r>
      <w:r w:rsidR="003D47EC" w:rsidRPr="001D14BB">
        <w:t xml:space="preserve">, </w:t>
      </w:r>
      <w:r w:rsidR="003D47EC">
        <w:t>Hefei</w:t>
      </w:r>
      <w:r w:rsidR="003D47EC" w:rsidRPr="00E90FD4">
        <w:t>,</w:t>
      </w:r>
      <w:r w:rsidR="003D47EC">
        <w:t xml:space="preserve"> China,</w:t>
      </w:r>
      <w:r w:rsidR="003D47EC" w:rsidRPr="001D14BB">
        <w:t xml:space="preserve"> </w:t>
      </w:r>
      <w:r w:rsidR="003D47EC">
        <w:t>October</w:t>
      </w:r>
      <w:r w:rsidR="003D47EC" w:rsidRPr="001D14BB">
        <w:t xml:space="preserve"> </w:t>
      </w:r>
      <w:r w:rsidR="003D47EC">
        <w:t>14-18</w:t>
      </w:r>
      <w:r w:rsidR="003D47EC" w:rsidRPr="001D14BB">
        <w:t>,</w:t>
      </w:r>
      <w:r w:rsidR="003D47EC">
        <w:t xml:space="preserve"> 2024</w:t>
      </w:r>
      <w:r w:rsidR="00BB41AF">
        <w:t>.</w:t>
      </w:r>
    </w:p>
    <w:sectPr w:rsidR="0067071C" w:rsidRPr="009D1A08"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0665F" w14:textId="77777777" w:rsidR="007553A8" w:rsidRDefault="007553A8" w:rsidP="0052762B">
      <w:r>
        <w:separator/>
      </w:r>
    </w:p>
  </w:endnote>
  <w:endnote w:type="continuationSeparator" w:id="0">
    <w:p w14:paraId="167D9667" w14:textId="77777777" w:rsidR="007553A8" w:rsidRDefault="007553A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872B0" w14:textId="77777777" w:rsidR="007553A8" w:rsidRDefault="007553A8" w:rsidP="0052762B">
      <w:r>
        <w:separator/>
      </w:r>
    </w:p>
  </w:footnote>
  <w:footnote w:type="continuationSeparator" w:id="0">
    <w:p w14:paraId="37595844" w14:textId="77777777" w:rsidR="007553A8" w:rsidRDefault="007553A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4471F27"/>
    <w:multiLevelType w:val="hybridMultilevel"/>
    <w:tmpl w:val="B53083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1"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60C24C7"/>
    <w:multiLevelType w:val="hybridMultilevel"/>
    <w:tmpl w:val="1E644D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6EA65AD"/>
    <w:multiLevelType w:val="hybridMultilevel"/>
    <w:tmpl w:val="C5388D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B6F207FA">
      <w:start w:val="6"/>
      <w:numFmt w:val="bullet"/>
      <w:lvlText w:val="-"/>
      <w:lvlJc w:val="left"/>
      <w:pPr>
        <w:ind w:left="3096" w:hanging="360"/>
      </w:pPr>
      <w:rPr>
        <w:rFonts w:ascii="Times New Roman" w:eastAsia="Malgun Gothic"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21"/>
  </w:num>
  <w:num w:numId="4">
    <w:abstractNumId w:val="38"/>
  </w:num>
  <w:num w:numId="5">
    <w:abstractNumId w:val="37"/>
  </w:num>
  <w:num w:numId="6">
    <w:abstractNumId w:val="15"/>
  </w:num>
  <w:num w:numId="7">
    <w:abstractNumId w:val="28"/>
  </w:num>
  <w:num w:numId="8">
    <w:abstractNumId w:val="43"/>
  </w:num>
  <w:num w:numId="9">
    <w:abstractNumId w:val="13"/>
  </w:num>
  <w:num w:numId="10">
    <w:abstractNumId w:val="41"/>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8"/>
  </w:num>
  <w:num w:numId="14">
    <w:abstractNumId w:val="29"/>
  </w:num>
  <w:num w:numId="15">
    <w:abstractNumId w:val="3"/>
  </w:num>
  <w:num w:numId="16">
    <w:abstractNumId w:val="19"/>
  </w:num>
  <w:num w:numId="17">
    <w:abstractNumId w:val="14"/>
  </w:num>
  <w:num w:numId="18">
    <w:abstractNumId w:val="5"/>
  </w:num>
  <w:num w:numId="19">
    <w:abstractNumId w:val="2"/>
  </w:num>
  <w:num w:numId="20">
    <w:abstractNumId w:val="10"/>
  </w:num>
  <w:num w:numId="21">
    <w:abstractNumId w:val="23"/>
  </w:num>
  <w:num w:numId="22">
    <w:abstractNumId w:val="4"/>
  </w:num>
  <w:num w:numId="23">
    <w:abstractNumId w:val="24"/>
  </w:num>
  <w:num w:numId="24">
    <w:abstractNumId w:val="25"/>
  </w:num>
  <w:num w:numId="25">
    <w:abstractNumId w:val="34"/>
  </w:num>
  <w:num w:numId="26">
    <w:abstractNumId w:val="11"/>
  </w:num>
  <w:num w:numId="27">
    <w:abstractNumId w:val="20"/>
  </w:num>
  <w:num w:numId="28">
    <w:abstractNumId w:val="16"/>
  </w:num>
  <w:num w:numId="29">
    <w:abstractNumId w:val="6"/>
  </w:num>
  <w:num w:numId="30">
    <w:abstractNumId w:val="42"/>
  </w:num>
  <w:num w:numId="31">
    <w:abstractNumId w:val="8"/>
  </w:num>
  <w:num w:numId="32">
    <w:abstractNumId w:val="30"/>
  </w:num>
  <w:num w:numId="33">
    <w:abstractNumId w:val="31"/>
  </w:num>
  <w:num w:numId="34">
    <w:abstractNumId w:val="33"/>
  </w:num>
  <w:num w:numId="35">
    <w:abstractNumId w:val="39"/>
  </w:num>
  <w:num w:numId="36">
    <w:abstractNumId w:val="0"/>
  </w:num>
  <w:num w:numId="37">
    <w:abstractNumId w:val="22"/>
  </w:num>
  <w:num w:numId="38">
    <w:abstractNumId w:val="32"/>
  </w:num>
  <w:num w:numId="39">
    <w:abstractNumId w:val="12"/>
  </w:num>
  <w:num w:numId="40">
    <w:abstractNumId w:val="1"/>
  </w:num>
  <w:num w:numId="41">
    <w:abstractNumId w:val="40"/>
  </w:num>
  <w:num w:numId="42">
    <w:abstractNumId w:val="36"/>
  </w:num>
  <w:num w:numId="43">
    <w:abstractNumId w:val="7"/>
  </w:num>
  <w:num w:numId="44">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193"/>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69C2"/>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582"/>
    <w:rsid w:val="000A3647"/>
    <w:rsid w:val="000A3954"/>
    <w:rsid w:val="000A471D"/>
    <w:rsid w:val="000A5151"/>
    <w:rsid w:val="000A5594"/>
    <w:rsid w:val="000A5943"/>
    <w:rsid w:val="000A5ABE"/>
    <w:rsid w:val="000A5EB3"/>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37F8D"/>
    <w:rsid w:val="001409DE"/>
    <w:rsid w:val="00140CB7"/>
    <w:rsid w:val="00140F21"/>
    <w:rsid w:val="001420CF"/>
    <w:rsid w:val="0014221C"/>
    <w:rsid w:val="00142A41"/>
    <w:rsid w:val="00143488"/>
    <w:rsid w:val="00143759"/>
    <w:rsid w:val="0014386B"/>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2DF9"/>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8E8"/>
    <w:rsid w:val="00186574"/>
    <w:rsid w:val="0018686E"/>
    <w:rsid w:val="0018689E"/>
    <w:rsid w:val="00186918"/>
    <w:rsid w:val="00186DFE"/>
    <w:rsid w:val="00186FED"/>
    <w:rsid w:val="001874A3"/>
    <w:rsid w:val="001878F6"/>
    <w:rsid w:val="001879F5"/>
    <w:rsid w:val="00187B6A"/>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6D"/>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2F"/>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822"/>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8D4"/>
    <w:rsid w:val="003C6E8A"/>
    <w:rsid w:val="003C7296"/>
    <w:rsid w:val="003C7437"/>
    <w:rsid w:val="003D072B"/>
    <w:rsid w:val="003D0774"/>
    <w:rsid w:val="003D1556"/>
    <w:rsid w:val="003D1760"/>
    <w:rsid w:val="003D1AD3"/>
    <w:rsid w:val="003D22F7"/>
    <w:rsid w:val="003D25F7"/>
    <w:rsid w:val="003D29B9"/>
    <w:rsid w:val="003D2DF2"/>
    <w:rsid w:val="003D356D"/>
    <w:rsid w:val="003D37D2"/>
    <w:rsid w:val="003D414F"/>
    <w:rsid w:val="003D47EC"/>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E7C53"/>
    <w:rsid w:val="003F0446"/>
    <w:rsid w:val="003F06C3"/>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93F"/>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85"/>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3091"/>
    <w:rsid w:val="004E46A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0C77"/>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DAB"/>
    <w:rsid w:val="00583F21"/>
    <w:rsid w:val="0058454D"/>
    <w:rsid w:val="0058532E"/>
    <w:rsid w:val="00585A04"/>
    <w:rsid w:val="005864A9"/>
    <w:rsid w:val="005864C2"/>
    <w:rsid w:val="005864FA"/>
    <w:rsid w:val="00586956"/>
    <w:rsid w:val="00586B16"/>
    <w:rsid w:val="00586B2C"/>
    <w:rsid w:val="0058730A"/>
    <w:rsid w:val="005873F2"/>
    <w:rsid w:val="0058774B"/>
    <w:rsid w:val="00587942"/>
    <w:rsid w:val="00590164"/>
    <w:rsid w:val="005902F9"/>
    <w:rsid w:val="00590995"/>
    <w:rsid w:val="00590BE8"/>
    <w:rsid w:val="00590EBF"/>
    <w:rsid w:val="00591628"/>
    <w:rsid w:val="00591B88"/>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5D55"/>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E6A"/>
    <w:rsid w:val="005B7FE3"/>
    <w:rsid w:val="005C0023"/>
    <w:rsid w:val="005C0348"/>
    <w:rsid w:val="005C07E8"/>
    <w:rsid w:val="005C0B33"/>
    <w:rsid w:val="005C0FCA"/>
    <w:rsid w:val="005C107E"/>
    <w:rsid w:val="005C1883"/>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1B1"/>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C9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2DB1"/>
    <w:rsid w:val="006930A3"/>
    <w:rsid w:val="006933C9"/>
    <w:rsid w:val="0069446A"/>
    <w:rsid w:val="00694651"/>
    <w:rsid w:val="00694768"/>
    <w:rsid w:val="00694D5D"/>
    <w:rsid w:val="00694E59"/>
    <w:rsid w:val="0069514A"/>
    <w:rsid w:val="006955A5"/>
    <w:rsid w:val="006957D8"/>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695"/>
    <w:rsid w:val="006C59F3"/>
    <w:rsid w:val="006C64E5"/>
    <w:rsid w:val="006C69F1"/>
    <w:rsid w:val="006C6E8D"/>
    <w:rsid w:val="006D07F7"/>
    <w:rsid w:val="006D0DA2"/>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821"/>
    <w:rsid w:val="0072216B"/>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857"/>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3A8"/>
    <w:rsid w:val="00755668"/>
    <w:rsid w:val="007558C6"/>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582"/>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484"/>
    <w:rsid w:val="0084197B"/>
    <w:rsid w:val="00841DEF"/>
    <w:rsid w:val="00841E99"/>
    <w:rsid w:val="00842DC0"/>
    <w:rsid w:val="00842E3F"/>
    <w:rsid w:val="00842EA5"/>
    <w:rsid w:val="00842FE0"/>
    <w:rsid w:val="00843047"/>
    <w:rsid w:val="008437FF"/>
    <w:rsid w:val="0084438D"/>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1B4"/>
    <w:rsid w:val="009326D7"/>
    <w:rsid w:val="00932D78"/>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755"/>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90E"/>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83D"/>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17D"/>
    <w:rsid w:val="009B4262"/>
    <w:rsid w:val="009B43B6"/>
    <w:rsid w:val="009B43EC"/>
    <w:rsid w:val="009B4AC0"/>
    <w:rsid w:val="009B507E"/>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1A08"/>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89E"/>
    <w:rsid w:val="00A42964"/>
    <w:rsid w:val="00A42C7F"/>
    <w:rsid w:val="00A43101"/>
    <w:rsid w:val="00A43685"/>
    <w:rsid w:val="00A4476D"/>
    <w:rsid w:val="00A447FE"/>
    <w:rsid w:val="00A44D89"/>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1DF"/>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4E1C"/>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49B"/>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47FCE"/>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0C79"/>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499A"/>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2FDB"/>
    <w:rsid w:val="00C0399E"/>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2973"/>
    <w:rsid w:val="00C13B9C"/>
    <w:rsid w:val="00C146C6"/>
    <w:rsid w:val="00C17643"/>
    <w:rsid w:val="00C179A3"/>
    <w:rsid w:val="00C17B7F"/>
    <w:rsid w:val="00C204A9"/>
    <w:rsid w:val="00C2080B"/>
    <w:rsid w:val="00C20901"/>
    <w:rsid w:val="00C209C0"/>
    <w:rsid w:val="00C21405"/>
    <w:rsid w:val="00C2151F"/>
    <w:rsid w:val="00C2173E"/>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211"/>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4DA8"/>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42"/>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5FA1"/>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C33"/>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703"/>
    <w:rsid w:val="00E42B33"/>
    <w:rsid w:val="00E42C21"/>
    <w:rsid w:val="00E437D2"/>
    <w:rsid w:val="00E43942"/>
    <w:rsid w:val="00E43998"/>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B67"/>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19CA"/>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92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B68"/>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A06"/>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085"/>
    <w:rsid w:val="00FA5299"/>
    <w:rsid w:val="00FA537E"/>
    <w:rsid w:val="00FA5653"/>
    <w:rsid w:val="00FA588B"/>
    <w:rsid w:val="00FA5F79"/>
    <w:rsid w:val="00FA632A"/>
    <w:rsid w:val="00FA639F"/>
    <w:rsid w:val="00FA783E"/>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C68D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11A7B-BDDD-40DB-8194-4A3002A0B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2193</TotalTime>
  <Pages>2</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114</cp:revision>
  <cp:lastPrinted>2010-01-07T02:23:00Z</cp:lastPrinted>
  <dcterms:created xsi:type="dcterms:W3CDTF">2024-04-07T12:55:00Z</dcterms:created>
  <dcterms:modified xsi:type="dcterms:W3CDTF">2024-11-08T11:46:00Z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(3)FXhFEWzKPvFh4cTzIsROH3UMODdBrLTYSumfx9s7pkivFisWyvefnfNLhSdzQtvdhDrbs0yZ
kfHLQ5GAxD7FGHqNpaoLpKGF/maZ3lGynLuyaRVwpTRTE7BZ7XQeKIY30czUt5zBmH1p//QH
4B8heVN6LuyTQIH5YwOyvQdqNbfWO2aggSYYihJMr4toXg2RjnAH3KarFp101OE7QxcfXbrJ
4K8I8oPgEPQ2QTkTMA</vt:lpwstr>
  </property>
  <property fmtid="{D5CDD505-2E9C-101B-9397-08002B2CF9AE}" pid="15" name="_2015_ms_pID_725343_00">
    <vt:lpwstr>_2015_ms_pID_725343</vt:lpwstr>
  </property>
  <property fmtid="{D5CDD505-2E9C-101B-9397-08002B2CF9AE}" pid="16" name="_2015_ms_pID_7253431">
    <vt:lpwstr>wzqhvzSFRuBU8YpyIttYplTGiNc43ISMsDyZI7tV+kzttIw6e65QMx
UsT2f97N7eqpC1xEo6F7WT43iOnd0QnvFVp5OBp1l03mYCIPKvd8aDBOdkLKpxfLNI2Detp3
5dinckA+vNtbr5CYKDVp8P/CefvaBw3J0kfxZBqCs6qItFJWrH7SuKeHdOS+xH8HLhbsotOl
46gjBJRRt2fB9BiTzmPXy9uEDi0I6/0x1qGw</vt:lpwstr>
  </property>
  <property fmtid="{D5CDD505-2E9C-101B-9397-08002B2CF9AE}" pid="17" name="_2015_ms_pID_7253431_00">
    <vt:lpwstr>_2015_ms_pID_7253431</vt:lpwstr>
  </property>
  <property fmtid="{D5CDD505-2E9C-101B-9397-08002B2CF9AE}" pid="18" name="_2015_ms_pID_7253432">
    <vt:lpwstr>Bg==</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1729931277</vt:lpwstr>
  </property>
</Properties>
</file>